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D75E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5A01EA06"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167BDBB9"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28A8FF22"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7650744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78A6340"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630E476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35D6C46A"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0B39E99B" w14:textId="77777777" w:rsidR="00582D4C" w:rsidRDefault="00582D4C"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p>
    <w:p w14:paraId="47C3A3A5" w14:textId="34E5F22A" w:rsidR="00582D4C" w:rsidRPr="001D0818" w:rsidRDefault="00F21795"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Buy-in for a New Health Promotion Community Education</w:t>
      </w:r>
      <w:r w:rsidR="006631AD">
        <w:rPr>
          <w:rFonts w:ascii="Times New Roman" w:eastAsia="Times New Roman" w:hAnsi="Times New Roman" w:cs="Times New Roman"/>
          <w:b/>
          <w:bCs/>
          <w:color w:val="333333"/>
          <w:sz w:val="24"/>
          <w:szCs w:val="24"/>
        </w:rPr>
        <w:t xml:space="preserve"> Event</w:t>
      </w:r>
    </w:p>
    <w:p w14:paraId="3769BD98" w14:textId="77777777" w:rsidR="00582D4C" w:rsidRDefault="00F21795"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Student’s Name:</w:t>
      </w:r>
    </w:p>
    <w:p w14:paraId="6E9B4316" w14:textId="77777777" w:rsidR="00582D4C" w:rsidRDefault="00F21795"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Institutional Affiliation:</w:t>
      </w:r>
    </w:p>
    <w:p w14:paraId="55699F26" w14:textId="77777777" w:rsidR="001418F7" w:rsidRDefault="00F21795"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Course:</w:t>
      </w:r>
    </w:p>
    <w:p w14:paraId="500B4DE5" w14:textId="77777777" w:rsidR="001418F7" w:rsidRDefault="00F21795"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Tutor:</w:t>
      </w:r>
    </w:p>
    <w:p w14:paraId="5CB822E8" w14:textId="77777777" w:rsidR="001418F7" w:rsidRPr="00582D4C" w:rsidRDefault="00F21795" w:rsidP="004C2A4B">
      <w:pPr>
        <w:shd w:val="clear" w:color="auto" w:fill="FFFFFF"/>
        <w:spacing w:after="0" w:line="480" w:lineRule="auto"/>
        <w:jc w:val="center"/>
        <w:outlineLvl w:val="3"/>
        <w:rPr>
          <w:rFonts w:ascii="Times New Roman" w:eastAsia="Times New Roman" w:hAnsi="Times New Roman" w:cs="Times New Roman"/>
          <w:bCs/>
          <w:color w:val="333333"/>
          <w:sz w:val="24"/>
          <w:szCs w:val="24"/>
        </w:rPr>
      </w:pPr>
      <w:r>
        <w:rPr>
          <w:rFonts w:ascii="Times New Roman" w:eastAsia="Times New Roman" w:hAnsi="Times New Roman" w:cs="Times New Roman"/>
          <w:bCs/>
          <w:color w:val="333333"/>
          <w:sz w:val="24"/>
          <w:szCs w:val="24"/>
        </w:rPr>
        <w:t>Date:</w:t>
      </w:r>
    </w:p>
    <w:p w14:paraId="1F1FFA85"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8DA8ACC"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630B7CB7"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ABC52B2"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5BD44D1"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3905CAB6"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E3E7838"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2D96B67D" w14:textId="77777777" w:rsidR="00582D4C" w:rsidRPr="00582D4C" w:rsidRDefault="00582D4C" w:rsidP="004C2A4B">
      <w:pPr>
        <w:shd w:val="clear" w:color="auto" w:fill="FFFFFF"/>
        <w:spacing w:after="0" w:line="480" w:lineRule="auto"/>
        <w:outlineLvl w:val="3"/>
        <w:rPr>
          <w:rFonts w:ascii="Times New Roman" w:eastAsia="Times New Roman" w:hAnsi="Times New Roman" w:cs="Times New Roman"/>
          <w:b/>
          <w:bCs/>
          <w:color w:val="333333"/>
          <w:sz w:val="24"/>
          <w:szCs w:val="24"/>
        </w:rPr>
      </w:pPr>
    </w:p>
    <w:p w14:paraId="4C4EF646" w14:textId="02BFD080" w:rsidR="003F5DEF" w:rsidRDefault="00F21795" w:rsidP="004C2A4B">
      <w:pPr>
        <w:shd w:val="clear" w:color="auto" w:fill="FFFFFF"/>
        <w:spacing w:after="0" w:line="480" w:lineRule="auto"/>
        <w:jc w:val="center"/>
        <w:outlineLvl w:val="3"/>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lastRenderedPageBreak/>
        <w:t>Buy-in for a New Health Promotion Community Education</w:t>
      </w:r>
      <w:r w:rsidR="006631AD">
        <w:rPr>
          <w:rFonts w:ascii="Times New Roman" w:eastAsia="Times New Roman" w:hAnsi="Times New Roman" w:cs="Times New Roman"/>
          <w:b/>
          <w:bCs/>
          <w:color w:val="333333"/>
          <w:sz w:val="24"/>
          <w:szCs w:val="24"/>
        </w:rPr>
        <w:t xml:space="preserve"> Event</w:t>
      </w:r>
    </w:p>
    <w:p w14:paraId="5E8191BA" w14:textId="60717937" w:rsidR="00F62ABD" w:rsidRDefault="00F21795"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Health promotion community education events are </w:t>
      </w:r>
      <w:r>
        <w:rPr>
          <w:rFonts w:ascii="Times New Roman" w:eastAsia="Times New Roman" w:hAnsi="Times New Roman" w:cs="Times New Roman"/>
          <w:bCs/>
          <w:color w:val="000000" w:themeColor="text1"/>
          <w:sz w:val="24"/>
          <w:szCs w:val="24"/>
        </w:rPr>
        <w:t>important for the success of disease prevention pro</w:t>
      </w:r>
      <w:bookmarkStart w:id="0" w:name="_GoBack"/>
      <w:bookmarkEnd w:id="0"/>
      <w:r>
        <w:rPr>
          <w:rFonts w:ascii="Times New Roman" w:eastAsia="Times New Roman" w:hAnsi="Times New Roman" w:cs="Times New Roman"/>
          <w:bCs/>
          <w:color w:val="000000" w:themeColor="text1"/>
          <w:sz w:val="24"/>
          <w:szCs w:val="24"/>
        </w:rPr>
        <w:t>grams. It ensures that the community gets learning experiences about various health issues and topics. By targeting a specific population, health promotion community education events provide awareness on t</w:t>
      </w:r>
      <w:r>
        <w:rPr>
          <w:rFonts w:ascii="Times New Roman" w:eastAsia="Times New Roman" w:hAnsi="Times New Roman" w:cs="Times New Roman"/>
          <w:bCs/>
          <w:color w:val="000000" w:themeColor="text1"/>
          <w:sz w:val="24"/>
          <w:szCs w:val="24"/>
        </w:rPr>
        <w:t xml:space="preserve">he benefits and threats of various health problems or issues. Some of these education activities include workshops, classes, shops, seminars, and webinars among others. As a result of this, different ways are applied in generating and getting buy-in for a </w:t>
      </w:r>
      <w:r>
        <w:rPr>
          <w:rFonts w:ascii="Times New Roman" w:eastAsia="Times New Roman" w:hAnsi="Times New Roman" w:cs="Times New Roman"/>
          <w:bCs/>
          <w:color w:val="000000" w:themeColor="text1"/>
          <w:sz w:val="24"/>
          <w:szCs w:val="24"/>
        </w:rPr>
        <w:t>new health promotion community education event</w:t>
      </w:r>
      <w:r w:rsidR="005F36E3">
        <w:rPr>
          <w:rFonts w:ascii="Times New Roman" w:eastAsia="Times New Roman" w:hAnsi="Times New Roman" w:cs="Times New Roman"/>
          <w:bCs/>
          <w:color w:val="000000" w:themeColor="text1"/>
          <w:sz w:val="24"/>
          <w:szCs w:val="24"/>
        </w:rPr>
        <w:t xml:space="preserve"> such as Covid-19 prevention</w:t>
      </w:r>
      <w:r>
        <w:rPr>
          <w:rFonts w:ascii="Times New Roman" w:eastAsia="Times New Roman" w:hAnsi="Times New Roman" w:cs="Times New Roman"/>
          <w:bCs/>
          <w:color w:val="000000" w:themeColor="text1"/>
          <w:sz w:val="24"/>
          <w:szCs w:val="24"/>
        </w:rPr>
        <w:t xml:space="preserve">. </w:t>
      </w:r>
    </w:p>
    <w:p w14:paraId="3B2D3AC1" w14:textId="5B6767E5" w:rsidR="006631AD" w:rsidRDefault="00F21795"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To generate and get buy-in, healthcare organizations must ensure the effective participation of the target population. </w:t>
      </w:r>
      <w:r w:rsidR="005F36E3">
        <w:rPr>
          <w:rFonts w:ascii="Times New Roman" w:eastAsia="Times New Roman" w:hAnsi="Times New Roman" w:cs="Times New Roman"/>
          <w:bCs/>
          <w:color w:val="000000" w:themeColor="text1"/>
          <w:sz w:val="24"/>
          <w:szCs w:val="24"/>
        </w:rPr>
        <w:t>The participation of the target population can be ensured by launching events that kick off the main event (Glanz, Rimer, &amp; Viswanath, 2015). This will ensure that the target population in a community is brought together. It makes individuals get excited about the main event. For example, in covid-19 prevention, events that show the importance of washing hands can be organized, before the main event, in which individuals are vaccinated, is organized. Every member of the community can be involved in the hand-washing process. New potential partners can be met in this process (</w:t>
      </w:r>
      <w:r w:rsidR="005F36E3" w:rsidRPr="005F36E3">
        <w:rPr>
          <w:rFonts w:ascii="Times New Roman" w:eastAsia="Times New Roman" w:hAnsi="Times New Roman" w:cs="Times New Roman"/>
          <w:bCs/>
          <w:color w:val="000000" w:themeColor="text1"/>
          <w:sz w:val="24"/>
          <w:szCs w:val="24"/>
        </w:rPr>
        <w:t>Glanz, Rimer, &amp; Viswanath, 2015</w:t>
      </w:r>
      <w:r w:rsidR="005F36E3">
        <w:rPr>
          <w:rFonts w:ascii="Times New Roman" w:eastAsia="Times New Roman" w:hAnsi="Times New Roman" w:cs="Times New Roman"/>
          <w:bCs/>
          <w:color w:val="000000" w:themeColor="text1"/>
          <w:sz w:val="24"/>
          <w:szCs w:val="24"/>
        </w:rPr>
        <w:t xml:space="preserve">). For the case of Covid-19 prevention, social media can be used to ensure the participation of the target population. Apart from this, television, local newspapers, and radio stations can be used. For example, television can be used to inform the public about the need to be vaccinated against coronavirus. </w:t>
      </w:r>
    </w:p>
    <w:p w14:paraId="2909AADD" w14:textId="58106284" w:rsidR="005F36E3" w:rsidRDefault="00F21795"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Developing and disseminating important materials is another way of generating and getting buy-in for a new health promotion community education event. It is throug</w:t>
      </w:r>
      <w:r>
        <w:rPr>
          <w:rFonts w:ascii="Times New Roman" w:eastAsia="Times New Roman" w:hAnsi="Times New Roman" w:cs="Times New Roman"/>
          <w:bCs/>
          <w:color w:val="000000" w:themeColor="text1"/>
          <w:sz w:val="24"/>
          <w:szCs w:val="24"/>
        </w:rPr>
        <w:t>h these materials that the target population and potential partners can be involved (</w:t>
      </w:r>
      <w:r w:rsidRPr="005F36E3">
        <w:rPr>
          <w:rFonts w:ascii="Times New Roman" w:eastAsia="Times New Roman" w:hAnsi="Times New Roman" w:cs="Times New Roman"/>
          <w:bCs/>
          <w:color w:val="000000" w:themeColor="text1"/>
          <w:sz w:val="24"/>
          <w:szCs w:val="24"/>
        </w:rPr>
        <w:t xml:space="preserve">Glanz, Rimer, &amp; </w:t>
      </w:r>
      <w:r w:rsidRPr="005F36E3">
        <w:rPr>
          <w:rFonts w:ascii="Times New Roman" w:eastAsia="Times New Roman" w:hAnsi="Times New Roman" w:cs="Times New Roman"/>
          <w:bCs/>
          <w:color w:val="000000" w:themeColor="text1"/>
          <w:sz w:val="24"/>
          <w:szCs w:val="24"/>
        </w:rPr>
        <w:lastRenderedPageBreak/>
        <w:t>Viswanath, 2015</w:t>
      </w:r>
      <w:r>
        <w:rPr>
          <w:rFonts w:ascii="Times New Roman" w:eastAsia="Times New Roman" w:hAnsi="Times New Roman" w:cs="Times New Roman"/>
          <w:bCs/>
          <w:color w:val="000000" w:themeColor="text1"/>
          <w:sz w:val="24"/>
          <w:szCs w:val="24"/>
        </w:rPr>
        <w:t>). These materials must be understood by everyone who is affected, including pregnant women, adults, and teenagers among others. Materials c</w:t>
      </w:r>
      <w:r>
        <w:rPr>
          <w:rFonts w:ascii="Times New Roman" w:eastAsia="Times New Roman" w:hAnsi="Times New Roman" w:cs="Times New Roman"/>
          <w:bCs/>
          <w:color w:val="000000" w:themeColor="text1"/>
          <w:sz w:val="24"/>
          <w:szCs w:val="24"/>
        </w:rPr>
        <w:t xml:space="preserve">an be printed and distributed at </w:t>
      </w:r>
      <w:r w:rsidR="005D2908">
        <w:rPr>
          <w:rFonts w:ascii="Times New Roman" w:eastAsia="Times New Roman" w:hAnsi="Times New Roman" w:cs="Times New Roman"/>
          <w:bCs/>
          <w:color w:val="000000" w:themeColor="text1"/>
          <w:sz w:val="24"/>
          <w:szCs w:val="24"/>
        </w:rPr>
        <w:t>the event</w:t>
      </w:r>
      <w:r>
        <w:rPr>
          <w:rFonts w:ascii="Times New Roman" w:eastAsia="Times New Roman" w:hAnsi="Times New Roman" w:cs="Times New Roman"/>
          <w:bCs/>
          <w:color w:val="000000" w:themeColor="text1"/>
          <w:sz w:val="24"/>
          <w:szCs w:val="24"/>
        </w:rPr>
        <w:t xml:space="preserve"> (</w:t>
      </w:r>
      <w:r w:rsidRPr="005F36E3">
        <w:rPr>
          <w:rFonts w:ascii="Times New Roman" w:eastAsia="Times New Roman" w:hAnsi="Times New Roman" w:cs="Times New Roman"/>
          <w:bCs/>
          <w:color w:val="000000" w:themeColor="text1"/>
          <w:sz w:val="24"/>
          <w:szCs w:val="24"/>
        </w:rPr>
        <w:t>Glanz, Rimer, &amp; Viswanath, 2015</w:t>
      </w:r>
      <w:r>
        <w:rPr>
          <w:rFonts w:ascii="Times New Roman" w:eastAsia="Times New Roman" w:hAnsi="Times New Roman" w:cs="Times New Roman"/>
          <w:bCs/>
          <w:color w:val="000000" w:themeColor="text1"/>
          <w:sz w:val="24"/>
          <w:szCs w:val="24"/>
        </w:rPr>
        <w:t xml:space="preserve">). </w:t>
      </w:r>
      <w:r w:rsidR="005D2908">
        <w:rPr>
          <w:rFonts w:ascii="Times New Roman" w:eastAsia="Times New Roman" w:hAnsi="Times New Roman" w:cs="Times New Roman"/>
          <w:bCs/>
          <w:color w:val="000000" w:themeColor="text1"/>
          <w:sz w:val="24"/>
          <w:szCs w:val="24"/>
        </w:rPr>
        <w:t xml:space="preserve">For example, fact sheets and posters can be printed and distributed in various parts of the community. They can also be given to healthcare providers, local partners, and schools. Further, healthcare organizations can take advantage of media centers that focus on healthcare, such as the CDC State and Community Health Center. </w:t>
      </w:r>
    </w:p>
    <w:p w14:paraId="07A0435D" w14:textId="779A286C" w:rsidR="005D2908" w:rsidRDefault="00F21795"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 generating and getting buy-in for a new health promotion community education event, a </w:t>
      </w:r>
      <w:r>
        <w:rPr>
          <w:rFonts w:ascii="Times New Roman" w:eastAsia="Times New Roman" w:hAnsi="Times New Roman" w:cs="Times New Roman"/>
          <w:bCs/>
          <w:color w:val="000000" w:themeColor="text1"/>
          <w:sz w:val="24"/>
          <w:szCs w:val="24"/>
        </w:rPr>
        <w:t>community needs assessment must be completed. This will identify the resources capacity, needs, and priorities (</w:t>
      </w:r>
      <w:r w:rsidRPr="005D2908">
        <w:rPr>
          <w:rFonts w:ascii="Times New Roman" w:eastAsia="Times New Roman" w:hAnsi="Times New Roman" w:cs="Times New Roman"/>
          <w:bCs/>
          <w:color w:val="000000" w:themeColor="text1"/>
          <w:sz w:val="24"/>
          <w:szCs w:val="24"/>
        </w:rPr>
        <w:t>Glanz, Rimer, &amp; Viswanath, 2015</w:t>
      </w:r>
      <w:r>
        <w:rPr>
          <w:rFonts w:ascii="Times New Roman" w:eastAsia="Times New Roman" w:hAnsi="Times New Roman" w:cs="Times New Roman"/>
          <w:bCs/>
          <w:color w:val="000000" w:themeColor="text1"/>
          <w:sz w:val="24"/>
          <w:szCs w:val="24"/>
        </w:rPr>
        <w:t xml:space="preserve">). It is important that healthcare organizations responsible for these events plan learning activities, that are </w:t>
      </w:r>
      <w:r>
        <w:rPr>
          <w:rFonts w:ascii="Times New Roman" w:eastAsia="Times New Roman" w:hAnsi="Times New Roman" w:cs="Times New Roman"/>
          <w:bCs/>
          <w:color w:val="000000" w:themeColor="text1"/>
          <w:sz w:val="24"/>
          <w:szCs w:val="24"/>
        </w:rPr>
        <w:t>aimed at increasing the knowledge and skills of participants. The planning should involve the integration of different programs, the development of the right curricula and materials, and having a setting that is convenient to the participants. Various meth</w:t>
      </w:r>
      <w:r>
        <w:rPr>
          <w:rFonts w:ascii="Times New Roman" w:eastAsia="Times New Roman" w:hAnsi="Times New Roman" w:cs="Times New Roman"/>
          <w:bCs/>
          <w:color w:val="000000" w:themeColor="text1"/>
          <w:sz w:val="24"/>
          <w:szCs w:val="24"/>
        </w:rPr>
        <w:t>ods of presenting information must be available to increase engagement (</w:t>
      </w:r>
      <w:r w:rsidRPr="005D2908">
        <w:rPr>
          <w:rFonts w:ascii="Times New Roman" w:eastAsia="Times New Roman" w:hAnsi="Times New Roman" w:cs="Times New Roman"/>
          <w:bCs/>
          <w:color w:val="000000" w:themeColor="text1"/>
          <w:sz w:val="24"/>
          <w:szCs w:val="24"/>
        </w:rPr>
        <w:t>Glanz, Rimer, &amp; Viswanath, 2015</w:t>
      </w:r>
      <w:r>
        <w:rPr>
          <w:rFonts w:ascii="Times New Roman" w:eastAsia="Times New Roman" w:hAnsi="Times New Roman" w:cs="Times New Roman"/>
          <w:bCs/>
          <w:color w:val="000000" w:themeColor="text1"/>
          <w:sz w:val="24"/>
          <w:szCs w:val="24"/>
        </w:rPr>
        <w:t xml:space="preserve">). </w:t>
      </w:r>
      <w:r w:rsidR="00344AF1">
        <w:rPr>
          <w:rFonts w:ascii="Times New Roman" w:eastAsia="Times New Roman" w:hAnsi="Times New Roman" w:cs="Times New Roman"/>
          <w:bCs/>
          <w:color w:val="000000" w:themeColor="text1"/>
          <w:sz w:val="24"/>
          <w:szCs w:val="24"/>
        </w:rPr>
        <w:t xml:space="preserve">It will ensure increased participation of important stakeholders. </w:t>
      </w:r>
      <w:r>
        <w:rPr>
          <w:rFonts w:ascii="Times New Roman" w:eastAsia="Times New Roman" w:hAnsi="Times New Roman" w:cs="Times New Roman"/>
          <w:bCs/>
          <w:color w:val="000000" w:themeColor="text1"/>
          <w:sz w:val="24"/>
          <w:szCs w:val="24"/>
        </w:rPr>
        <w:t xml:space="preserve">With these measures, it can be easy to generate and get buy-in. </w:t>
      </w:r>
    </w:p>
    <w:p w14:paraId="0B14E4E6" w14:textId="3B9DFFDB"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376D4628" w14:textId="76293EF3"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2760E8FD" w14:textId="4BD6FD5D"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11C2AF41" w14:textId="74CA1B9D"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8924F6C" w14:textId="6FFD9F99"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6FE0A7B7" w14:textId="188F107E"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437872BD" w14:textId="7ED682A4"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065EC072" w14:textId="7C099A6B" w:rsidR="005D2908" w:rsidRDefault="005D2908" w:rsidP="006631AD">
      <w:pPr>
        <w:shd w:val="clear" w:color="auto" w:fill="FFFFFF"/>
        <w:spacing w:after="0" w:line="480" w:lineRule="auto"/>
        <w:ind w:firstLine="720"/>
        <w:outlineLvl w:val="3"/>
        <w:rPr>
          <w:rFonts w:ascii="Times New Roman" w:eastAsia="Times New Roman" w:hAnsi="Times New Roman" w:cs="Times New Roman"/>
          <w:bCs/>
          <w:color w:val="000000" w:themeColor="text1"/>
          <w:sz w:val="24"/>
          <w:szCs w:val="24"/>
        </w:rPr>
      </w:pPr>
    </w:p>
    <w:p w14:paraId="1776063E" w14:textId="41CE0D05" w:rsidR="005D2908" w:rsidRDefault="00F21795" w:rsidP="005D2908">
      <w:pPr>
        <w:shd w:val="clear" w:color="auto" w:fill="FFFFFF"/>
        <w:spacing w:after="0" w:line="480" w:lineRule="auto"/>
        <w:ind w:firstLine="720"/>
        <w:jc w:val="center"/>
        <w:outlineLvl w:val="3"/>
        <w:rPr>
          <w:rFonts w:ascii="Times New Roman" w:eastAsia="Times New Roman" w:hAnsi="Times New Roman" w:cs="Times New Roman"/>
          <w:b/>
          <w:color w:val="000000" w:themeColor="text1"/>
          <w:sz w:val="24"/>
          <w:szCs w:val="24"/>
        </w:rPr>
      </w:pPr>
      <w:r w:rsidRPr="005D2908">
        <w:rPr>
          <w:rFonts w:ascii="Times New Roman" w:eastAsia="Times New Roman" w:hAnsi="Times New Roman" w:cs="Times New Roman"/>
          <w:b/>
          <w:color w:val="000000" w:themeColor="text1"/>
          <w:sz w:val="24"/>
          <w:szCs w:val="24"/>
        </w:rPr>
        <w:lastRenderedPageBreak/>
        <w:t>References</w:t>
      </w:r>
    </w:p>
    <w:p w14:paraId="18D645C5" w14:textId="6D157108" w:rsidR="005D2908" w:rsidRDefault="00F21795" w:rsidP="005D2908">
      <w:pPr>
        <w:shd w:val="clear" w:color="auto" w:fill="FFFFFF"/>
        <w:spacing w:after="0" w:line="480" w:lineRule="auto"/>
        <w:outlineLvl w:val="3"/>
        <w:rPr>
          <w:rFonts w:ascii="Times New Roman" w:eastAsia="Times New Roman" w:hAnsi="Times New Roman" w:cs="Times New Roman"/>
          <w:bCs/>
          <w:i/>
          <w:iCs/>
          <w:color w:val="000000" w:themeColor="text1"/>
          <w:sz w:val="24"/>
          <w:szCs w:val="24"/>
        </w:rPr>
      </w:pPr>
      <w:r w:rsidRPr="005D2908">
        <w:rPr>
          <w:rFonts w:ascii="Times New Roman" w:eastAsia="Times New Roman" w:hAnsi="Times New Roman" w:cs="Times New Roman"/>
          <w:bCs/>
          <w:color w:val="000000" w:themeColor="text1"/>
          <w:sz w:val="24"/>
          <w:szCs w:val="24"/>
        </w:rPr>
        <w:t xml:space="preserve">Glanz, K., Rimer, B.K., Viswanath, K. (2015). </w:t>
      </w:r>
      <w:r w:rsidRPr="005D2908">
        <w:rPr>
          <w:rFonts w:ascii="Times New Roman" w:eastAsia="Times New Roman" w:hAnsi="Times New Roman" w:cs="Times New Roman"/>
          <w:bCs/>
          <w:i/>
          <w:iCs/>
          <w:color w:val="000000" w:themeColor="text1"/>
          <w:sz w:val="24"/>
          <w:szCs w:val="24"/>
        </w:rPr>
        <w:t>Health behavior: The</w:t>
      </w:r>
      <w:r w:rsidRPr="005D2908">
        <w:rPr>
          <w:rFonts w:ascii="Times New Roman" w:eastAsia="Times New Roman" w:hAnsi="Times New Roman" w:cs="Times New Roman"/>
          <w:bCs/>
          <w:i/>
          <w:iCs/>
          <w:color w:val="000000" w:themeColor="text1"/>
          <w:sz w:val="24"/>
          <w:szCs w:val="24"/>
        </w:rPr>
        <w:t xml:space="preserve">ory, research, and practice </w:t>
      </w:r>
    </w:p>
    <w:p w14:paraId="6A9E310C" w14:textId="5B2170CB" w:rsidR="005D2908" w:rsidRPr="005D2908" w:rsidRDefault="00F21795" w:rsidP="005D2908">
      <w:pPr>
        <w:shd w:val="clear" w:color="auto" w:fill="FFFFFF"/>
        <w:spacing w:after="0" w:line="480" w:lineRule="auto"/>
        <w:outlineLvl w:val="3"/>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iCs/>
          <w:color w:val="000000" w:themeColor="text1"/>
          <w:sz w:val="24"/>
          <w:szCs w:val="24"/>
        </w:rPr>
        <w:tab/>
      </w:r>
      <w:r w:rsidRPr="005D2908">
        <w:rPr>
          <w:rFonts w:ascii="Times New Roman" w:eastAsia="Times New Roman" w:hAnsi="Times New Roman" w:cs="Times New Roman"/>
          <w:bCs/>
          <w:i/>
          <w:iCs/>
          <w:color w:val="000000" w:themeColor="text1"/>
          <w:sz w:val="24"/>
          <w:szCs w:val="24"/>
        </w:rPr>
        <w:t>(5th Ed.)</w:t>
      </w:r>
      <w:r>
        <w:rPr>
          <w:rFonts w:ascii="Times New Roman" w:eastAsia="Times New Roman" w:hAnsi="Times New Roman" w:cs="Times New Roman"/>
          <w:bCs/>
          <w:color w:val="000000" w:themeColor="text1"/>
          <w:sz w:val="24"/>
          <w:szCs w:val="24"/>
        </w:rPr>
        <w:t xml:space="preserve">. New Jersey, United States: </w:t>
      </w:r>
      <w:r w:rsidRPr="005D2908">
        <w:rPr>
          <w:rFonts w:ascii="Times New Roman" w:eastAsia="Times New Roman" w:hAnsi="Times New Roman" w:cs="Times New Roman"/>
          <w:bCs/>
          <w:color w:val="000000" w:themeColor="text1"/>
          <w:sz w:val="24"/>
          <w:szCs w:val="24"/>
        </w:rPr>
        <w:t>John Wiley &amp;amp; Sons, Inc.</w:t>
      </w:r>
    </w:p>
    <w:sectPr w:rsidR="005D2908" w:rsidRPr="005D2908" w:rsidSect="00582D4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CD06E" w14:textId="77777777" w:rsidR="00F21795" w:rsidRDefault="00F21795">
      <w:pPr>
        <w:spacing w:after="0" w:line="240" w:lineRule="auto"/>
      </w:pPr>
      <w:r>
        <w:separator/>
      </w:r>
    </w:p>
  </w:endnote>
  <w:endnote w:type="continuationSeparator" w:id="0">
    <w:p w14:paraId="7E57DB37" w14:textId="77777777" w:rsidR="00F21795" w:rsidRDefault="00F2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0F74C2" w14:textId="77777777" w:rsidR="00F21795" w:rsidRDefault="00F21795">
      <w:pPr>
        <w:spacing w:after="0" w:line="240" w:lineRule="auto"/>
      </w:pPr>
      <w:r>
        <w:separator/>
      </w:r>
    </w:p>
  </w:footnote>
  <w:footnote w:type="continuationSeparator" w:id="0">
    <w:p w14:paraId="6EA2F3C4" w14:textId="77777777" w:rsidR="00F21795" w:rsidRDefault="00F21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78867" w14:textId="77777777" w:rsidR="00EF6258" w:rsidRPr="00582D4C" w:rsidRDefault="00F21795">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746"/>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MERGEFORMAT </w:instrText>
        </w:r>
        <w:r w:rsidRPr="00582D4C">
          <w:rPr>
            <w:rFonts w:ascii="Times New Roman" w:hAnsi="Times New Roman" w:cs="Times New Roman"/>
            <w:sz w:val="24"/>
            <w:szCs w:val="24"/>
          </w:rPr>
          <w:fldChar w:fldCharType="separate"/>
        </w:r>
        <w:r w:rsidR="00A77E3D">
          <w:rPr>
            <w:rFonts w:ascii="Times New Roman" w:hAnsi="Times New Roman" w:cs="Times New Roman"/>
            <w:noProof/>
            <w:sz w:val="24"/>
            <w:szCs w:val="24"/>
          </w:rPr>
          <w:t>5</w:t>
        </w:r>
        <w:r w:rsidRPr="00582D4C">
          <w:rPr>
            <w:rFonts w:ascii="Times New Roman" w:hAnsi="Times New Roman" w:cs="Times New Roman"/>
            <w:sz w:val="24"/>
            <w:szCs w:val="24"/>
          </w:rPr>
          <w:fldChar w:fldCharType="end"/>
        </w:r>
      </w:sdtContent>
    </w:sdt>
  </w:p>
  <w:p w14:paraId="3978A079" w14:textId="77777777" w:rsidR="00EF6258" w:rsidRPr="00582D4C" w:rsidRDefault="00EF625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16CC30" w14:textId="77777777" w:rsidR="00EF6258" w:rsidRPr="00582D4C" w:rsidRDefault="00F21795">
    <w:pPr>
      <w:pStyle w:val="Header"/>
      <w:jc w:val="right"/>
      <w:rPr>
        <w:rFonts w:ascii="Times New Roman" w:hAnsi="Times New Roman" w:cs="Times New Roman"/>
        <w:sz w:val="24"/>
        <w:szCs w:val="24"/>
      </w:rPr>
    </w:pPr>
    <w:r>
      <w:rPr>
        <w:rFonts w:ascii="Times New Roman" w:hAnsi="Times New Roman" w:cs="Times New Roman"/>
        <w:sz w:val="24"/>
        <w:szCs w:val="24"/>
      </w:rPr>
      <w:t xml:space="preserve">                                                                                          </w:t>
    </w:r>
    <w:r w:rsidRPr="00582D4C">
      <w:rPr>
        <w:rFonts w:ascii="Times New Roman" w:hAnsi="Times New Roman" w:cs="Times New Roman"/>
        <w:sz w:val="24"/>
        <w:szCs w:val="24"/>
      </w:rPr>
      <w:t xml:space="preserve"> </w:t>
    </w:r>
    <w:sdt>
      <w:sdtPr>
        <w:rPr>
          <w:rFonts w:ascii="Times New Roman" w:hAnsi="Times New Roman" w:cs="Times New Roman"/>
          <w:sz w:val="24"/>
          <w:szCs w:val="24"/>
        </w:rPr>
        <w:id w:val="29580614"/>
        <w:docPartObj>
          <w:docPartGallery w:val="Page Numbers (Top of Page)"/>
          <w:docPartUnique/>
        </w:docPartObj>
      </w:sdtPr>
      <w:sdtEndPr/>
      <w:sdtContent>
        <w:r w:rsidRPr="00582D4C">
          <w:rPr>
            <w:rFonts w:ascii="Times New Roman" w:hAnsi="Times New Roman" w:cs="Times New Roman"/>
            <w:sz w:val="24"/>
            <w:szCs w:val="24"/>
          </w:rPr>
          <w:fldChar w:fldCharType="begin"/>
        </w:r>
        <w:r w:rsidRPr="00582D4C">
          <w:rPr>
            <w:rFonts w:ascii="Times New Roman" w:hAnsi="Times New Roman" w:cs="Times New Roman"/>
            <w:sz w:val="24"/>
            <w:szCs w:val="24"/>
          </w:rPr>
          <w:instrText xml:space="preserve"> PAGE   \* MERGEFO</w:instrText>
        </w:r>
        <w:r w:rsidRPr="00582D4C">
          <w:rPr>
            <w:rFonts w:ascii="Times New Roman" w:hAnsi="Times New Roman" w:cs="Times New Roman"/>
            <w:sz w:val="24"/>
            <w:szCs w:val="24"/>
          </w:rPr>
          <w:instrText xml:space="preserve">RMAT </w:instrText>
        </w:r>
        <w:r w:rsidRPr="00582D4C">
          <w:rPr>
            <w:rFonts w:ascii="Times New Roman" w:hAnsi="Times New Roman" w:cs="Times New Roman"/>
            <w:sz w:val="24"/>
            <w:szCs w:val="24"/>
          </w:rPr>
          <w:fldChar w:fldCharType="separate"/>
        </w:r>
        <w:r w:rsidR="00B14B26">
          <w:rPr>
            <w:rFonts w:ascii="Times New Roman" w:hAnsi="Times New Roman" w:cs="Times New Roman"/>
            <w:noProof/>
            <w:sz w:val="24"/>
            <w:szCs w:val="24"/>
          </w:rPr>
          <w:t>1</w:t>
        </w:r>
        <w:r w:rsidRPr="00582D4C">
          <w:rPr>
            <w:rFonts w:ascii="Times New Roman" w:hAnsi="Times New Roman" w:cs="Times New Roman"/>
            <w:sz w:val="24"/>
            <w:szCs w:val="24"/>
          </w:rPr>
          <w:fldChar w:fldCharType="end"/>
        </w:r>
      </w:sdtContent>
    </w:sdt>
  </w:p>
  <w:p w14:paraId="0EA41479" w14:textId="77777777" w:rsidR="00EF6258" w:rsidRPr="00582D4C" w:rsidRDefault="00EF6258">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54CE1"/>
    <w:multiLevelType w:val="hybridMultilevel"/>
    <w:tmpl w:val="175EC6DC"/>
    <w:lvl w:ilvl="0" w:tplc="5DFE4A54">
      <w:start w:val="1"/>
      <w:numFmt w:val="bullet"/>
      <w:lvlText w:val=""/>
      <w:lvlJc w:val="left"/>
      <w:pPr>
        <w:ind w:left="720" w:hanging="360"/>
      </w:pPr>
      <w:rPr>
        <w:rFonts w:ascii="Wingdings" w:hAnsi="Wingdings" w:hint="default"/>
      </w:rPr>
    </w:lvl>
    <w:lvl w:ilvl="1" w:tplc="E38C1628" w:tentative="1">
      <w:start w:val="1"/>
      <w:numFmt w:val="bullet"/>
      <w:lvlText w:val="o"/>
      <w:lvlJc w:val="left"/>
      <w:pPr>
        <w:ind w:left="1440" w:hanging="360"/>
      </w:pPr>
      <w:rPr>
        <w:rFonts w:ascii="Courier New" w:hAnsi="Courier New" w:cs="Courier New" w:hint="default"/>
      </w:rPr>
    </w:lvl>
    <w:lvl w:ilvl="2" w:tplc="808CEFFE" w:tentative="1">
      <w:start w:val="1"/>
      <w:numFmt w:val="bullet"/>
      <w:lvlText w:val=""/>
      <w:lvlJc w:val="left"/>
      <w:pPr>
        <w:ind w:left="2160" w:hanging="360"/>
      </w:pPr>
      <w:rPr>
        <w:rFonts w:ascii="Wingdings" w:hAnsi="Wingdings" w:hint="default"/>
      </w:rPr>
    </w:lvl>
    <w:lvl w:ilvl="3" w:tplc="A6CE9AA2" w:tentative="1">
      <w:start w:val="1"/>
      <w:numFmt w:val="bullet"/>
      <w:lvlText w:val=""/>
      <w:lvlJc w:val="left"/>
      <w:pPr>
        <w:ind w:left="2880" w:hanging="360"/>
      </w:pPr>
      <w:rPr>
        <w:rFonts w:ascii="Symbol" w:hAnsi="Symbol" w:hint="default"/>
      </w:rPr>
    </w:lvl>
    <w:lvl w:ilvl="4" w:tplc="DBA62F44" w:tentative="1">
      <w:start w:val="1"/>
      <w:numFmt w:val="bullet"/>
      <w:lvlText w:val="o"/>
      <w:lvlJc w:val="left"/>
      <w:pPr>
        <w:ind w:left="3600" w:hanging="360"/>
      </w:pPr>
      <w:rPr>
        <w:rFonts w:ascii="Courier New" w:hAnsi="Courier New" w:cs="Courier New" w:hint="default"/>
      </w:rPr>
    </w:lvl>
    <w:lvl w:ilvl="5" w:tplc="A8E29A10" w:tentative="1">
      <w:start w:val="1"/>
      <w:numFmt w:val="bullet"/>
      <w:lvlText w:val=""/>
      <w:lvlJc w:val="left"/>
      <w:pPr>
        <w:ind w:left="4320" w:hanging="360"/>
      </w:pPr>
      <w:rPr>
        <w:rFonts w:ascii="Wingdings" w:hAnsi="Wingdings" w:hint="default"/>
      </w:rPr>
    </w:lvl>
    <w:lvl w:ilvl="6" w:tplc="FBE64E20" w:tentative="1">
      <w:start w:val="1"/>
      <w:numFmt w:val="bullet"/>
      <w:lvlText w:val=""/>
      <w:lvlJc w:val="left"/>
      <w:pPr>
        <w:ind w:left="5040" w:hanging="360"/>
      </w:pPr>
      <w:rPr>
        <w:rFonts w:ascii="Symbol" w:hAnsi="Symbol" w:hint="default"/>
      </w:rPr>
    </w:lvl>
    <w:lvl w:ilvl="7" w:tplc="9120EF36" w:tentative="1">
      <w:start w:val="1"/>
      <w:numFmt w:val="bullet"/>
      <w:lvlText w:val="o"/>
      <w:lvlJc w:val="left"/>
      <w:pPr>
        <w:ind w:left="5760" w:hanging="360"/>
      </w:pPr>
      <w:rPr>
        <w:rFonts w:ascii="Courier New" w:hAnsi="Courier New" w:cs="Courier New" w:hint="default"/>
      </w:rPr>
    </w:lvl>
    <w:lvl w:ilvl="8" w:tplc="8280D236" w:tentative="1">
      <w:start w:val="1"/>
      <w:numFmt w:val="bullet"/>
      <w:lvlText w:val=""/>
      <w:lvlJc w:val="left"/>
      <w:pPr>
        <w:ind w:left="6480" w:hanging="360"/>
      </w:pPr>
      <w:rPr>
        <w:rFonts w:ascii="Wingdings" w:hAnsi="Wingdings" w:hint="default"/>
      </w:rPr>
    </w:lvl>
  </w:abstractNum>
  <w:abstractNum w:abstractNumId="1" w15:restartNumberingAfterBreak="0">
    <w:nsid w:val="53163248"/>
    <w:multiLevelType w:val="hybridMultilevel"/>
    <w:tmpl w:val="533C8092"/>
    <w:lvl w:ilvl="0" w:tplc="2C4E0498">
      <w:start w:val="1"/>
      <w:numFmt w:val="lowerRoman"/>
      <w:lvlText w:val="%1."/>
      <w:lvlJc w:val="right"/>
      <w:pPr>
        <w:ind w:left="720" w:hanging="360"/>
      </w:pPr>
    </w:lvl>
    <w:lvl w:ilvl="1" w:tplc="AF34DA80" w:tentative="1">
      <w:start w:val="1"/>
      <w:numFmt w:val="lowerLetter"/>
      <w:lvlText w:val="%2."/>
      <w:lvlJc w:val="left"/>
      <w:pPr>
        <w:ind w:left="1440" w:hanging="360"/>
      </w:pPr>
    </w:lvl>
    <w:lvl w:ilvl="2" w:tplc="20223B40" w:tentative="1">
      <w:start w:val="1"/>
      <w:numFmt w:val="lowerRoman"/>
      <w:lvlText w:val="%3."/>
      <w:lvlJc w:val="right"/>
      <w:pPr>
        <w:ind w:left="2160" w:hanging="180"/>
      </w:pPr>
    </w:lvl>
    <w:lvl w:ilvl="3" w:tplc="997A7216" w:tentative="1">
      <w:start w:val="1"/>
      <w:numFmt w:val="decimal"/>
      <w:lvlText w:val="%4."/>
      <w:lvlJc w:val="left"/>
      <w:pPr>
        <w:ind w:left="2880" w:hanging="360"/>
      </w:pPr>
    </w:lvl>
    <w:lvl w:ilvl="4" w:tplc="12000338" w:tentative="1">
      <w:start w:val="1"/>
      <w:numFmt w:val="lowerLetter"/>
      <w:lvlText w:val="%5."/>
      <w:lvlJc w:val="left"/>
      <w:pPr>
        <w:ind w:left="3600" w:hanging="360"/>
      </w:pPr>
    </w:lvl>
    <w:lvl w:ilvl="5" w:tplc="C0B0A24E" w:tentative="1">
      <w:start w:val="1"/>
      <w:numFmt w:val="lowerRoman"/>
      <w:lvlText w:val="%6."/>
      <w:lvlJc w:val="right"/>
      <w:pPr>
        <w:ind w:left="4320" w:hanging="180"/>
      </w:pPr>
    </w:lvl>
    <w:lvl w:ilvl="6" w:tplc="020E30B6" w:tentative="1">
      <w:start w:val="1"/>
      <w:numFmt w:val="decimal"/>
      <w:lvlText w:val="%7."/>
      <w:lvlJc w:val="left"/>
      <w:pPr>
        <w:ind w:left="5040" w:hanging="360"/>
      </w:pPr>
    </w:lvl>
    <w:lvl w:ilvl="7" w:tplc="3FC4A25A" w:tentative="1">
      <w:start w:val="1"/>
      <w:numFmt w:val="lowerLetter"/>
      <w:lvlText w:val="%8."/>
      <w:lvlJc w:val="left"/>
      <w:pPr>
        <w:ind w:left="5760" w:hanging="360"/>
      </w:pPr>
    </w:lvl>
    <w:lvl w:ilvl="8" w:tplc="C00AB63C" w:tentative="1">
      <w:start w:val="1"/>
      <w:numFmt w:val="lowerRoman"/>
      <w:lvlText w:val="%9."/>
      <w:lvlJc w:val="right"/>
      <w:pPr>
        <w:ind w:left="6480" w:hanging="180"/>
      </w:pPr>
    </w:lvl>
  </w:abstractNum>
  <w:abstractNum w:abstractNumId="2" w15:restartNumberingAfterBreak="0">
    <w:nsid w:val="62337AAA"/>
    <w:multiLevelType w:val="hybridMultilevel"/>
    <w:tmpl w:val="356CF0EC"/>
    <w:lvl w:ilvl="0" w:tplc="7F1E15D6">
      <w:start w:val="1"/>
      <w:numFmt w:val="bullet"/>
      <w:lvlText w:val=""/>
      <w:lvlJc w:val="left"/>
      <w:pPr>
        <w:ind w:left="1440" w:hanging="360"/>
      </w:pPr>
      <w:rPr>
        <w:rFonts w:ascii="Symbol" w:hAnsi="Symbol" w:hint="default"/>
      </w:rPr>
    </w:lvl>
    <w:lvl w:ilvl="1" w:tplc="0944D296" w:tentative="1">
      <w:start w:val="1"/>
      <w:numFmt w:val="bullet"/>
      <w:lvlText w:val="o"/>
      <w:lvlJc w:val="left"/>
      <w:pPr>
        <w:ind w:left="2160" w:hanging="360"/>
      </w:pPr>
      <w:rPr>
        <w:rFonts w:ascii="Courier New" w:hAnsi="Courier New" w:cs="Courier New" w:hint="default"/>
      </w:rPr>
    </w:lvl>
    <w:lvl w:ilvl="2" w:tplc="3C8E8FBE" w:tentative="1">
      <w:start w:val="1"/>
      <w:numFmt w:val="bullet"/>
      <w:lvlText w:val=""/>
      <w:lvlJc w:val="left"/>
      <w:pPr>
        <w:ind w:left="2880" w:hanging="360"/>
      </w:pPr>
      <w:rPr>
        <w:rFonts w:ascii="Wingdings" w:hAnsi="Wingdings" w:hint="default"/>
      </w:rPr>
    </w:lvl>
    <w:lvl w:ilvl="3" w:tplc="FED28658" w:tentative="1">
      <w:start w:val="1"/>
      <w:numFmt w:val="bullet"/>
      <w:lvlText w:val=""/>
      <w:lvlJc w:val="left"/>
      <w:pPr>
        <w:ind w:left="3600" w:hanging="360"/>
      </w:pPr>
      <w:rPr>
        <w:rFonts w:ascii="Symbol" w:hAnsi="Symbol" w:hint="default"/>
      </w:rPr>
    </w:lvl>
    <w:lvl w:ilvl="4" w:tplc="58BCB290" w:tentative="1">
      <w:start w:val="1"/>
      <w:numFmt w:val="bullet"/>
      <w:lvlText w:val="o"/>
      <w:lvlJc w:val="left"/>
      <w:pPr>
        <w:ind w:left="4320" w:hanging="360"/>
      </w:pPr>
      <w:rPr>
        <w:rFonts w:ascii="Courier New" w:hAnsi="Courier New" w:cs="Courier New" w:hint="default"/>
      </w:rPr>
    </w:lvl>
    <w:lvl w:ilvl="5" w:tplc="B622B1AC" w:tentative="1">
      <w:start w:val="1"/>
      <w:numFmt w:val="bullet"/>
      <w:lvlText w:val=""/>
      <w:lvlJc w:val="left"/>
      <w:pPr>
        <w:ind w:left="5040" w:hanging="360"/>
      </w:pPr>
      <w:rPr>
        <w:rFonts w:ascii="Wingdings" w:hAnsi="Wingdings" w:hint="default"/>
      </w:rPr>
    </w:lvl>
    <w:lvl w:ilvl="6" w:tplc="81D2F71E" w:tentative="1">
      <w:start w:val="1"/>
      <w:numFmt w:val="bullet"/>
      <w:lvlText w:val=""/>
      <w:lvlJc w:val="left"/>
      <w:pPr>
        <w:ind w:left="5760" w:hanging="360"/>
      </w:pPr>
      <w:rPr>
        <w:rFonts w:ascii="Symbol" w:hAnsi="Symbol" w:hint="default"/>
      </w:rPr>
    </w:lvl>
    <w:lvl w:ilvl="7" w:tplc="BACE0B1A" w:tentative="1">
      <w:start w:val="1"/>
      <w:numFmt w:val="bullet"/>
      <w:lvlText w:val="o"/>
      <w:lvlJc w:val="left"/>
      <w:pPr>
        <w:ind w:left="6480" w:hanging="360"/>
      </w:pPr>
      <w:rPr>
        <w:rFonts w:ascii="Courier New" w:hAnsi="Courier New" w:cs="Courier New" w:hint="default"/>
      </w:rPr>
    </w:lvl>
    <w:lvl w:ilvl="8" w:tplc="2A405DE0" w:tentative="1">
      <w:start w:val="1"/>
      <w:numFmt w:val="bullet"/>
      <w:lvlText w:val=""/>
      <w:lvlJc w:val="left"/>
      <w:pPr>
        <w:ind w:left="7200" w:hanging="360"/>
      </w:pPr>
      <w:rPr>
        <w:rFonts w:ascii="Wingdings" w:hAnsi="Wingdings" w:hint="default"/>
      </w:rPr>
    </w:lvl>
  </w:abstractNum>
  <w:abstractNum w:abstractNumId="3" w15:restartNumberingAfterBreak="0">
    <w:nsid w:val="78E71311"/>
    <w:multiLevelType w:val="multilevel"/>
    <w:tmpl w:val="3D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B8"/>
    <w:rsid w:val="00005D97"/>
    <w:rsid w:val="0000720B"/>
    <w:rsid w:val="000147A5"/>
    <w:rsid w:val="00016E1C"/>
    <w:rsid w:val="000207E7"/>
    <w:rsid w:val="00021D0B"/>
    <w:rsid w:val="00025E16"/>
    <w:rsid w:val="000327D4"/>
    <w:rsid w:val="000333CC"/>
    <w:rsid w:val="00036421"/>
    <w:rsid w:val="00036CD2"/>
    <w:rsid w:val="00042F28"/>
    <w:rsid w:val="00043DE1"/>
    <w:rsid w:val="0005359B"/>
    <w:rsid w:val="0005745F"/>
    <w:rsid w:val="00065829"/>
    <w:rsid w:val="00067B70"/>
    <w:rsid w:val="00071C0A"/>
    <w:rsid w:val="00071EC4"/>
    <w:rsid w:val="00081D1E"/>
    <w:rsid w:val="00087140"/>
    <w:rsid w:val="00090C33"/>
    <w:rsid w:val="00093ED1"/>
    <w:rsid w:val="00094CE4"/>
    <w:rsid w:val="000A3637"/>
    <w:rsid w:val="000B57BE"/>
    <w:rsid w:val="000C7E7A"/>
    <w:rsid w:val="000C7FA7"/>
    <w:rsid w:val="000E36C4"/>
    <w:rsid w:val="000E38C4"/>
    <w:rsid w:val="000E4CD5"/>
    <w:rsid w:val="000E5AA5"/>
    <w:rsid w:val="000F0C7E"/>
    <w:rsid w:val="000F3FEF"/>
    <w:rsid w:val="00101327"/>
    <w:rsid w:val="00105EB1"/>
    <w:rsid w:val="0011318A"/>
    <w:rsid w:val="00116B05"/>
    <w:rsid w:val="00117782"/>
    <w:rsid w:val="00123320"/>
    <w:rsid w:val="001354A0"/>
    <w:rsid w:val="001418F7"/>
    <w:rsid w:val="00141E30"/>
    <w:rsid w:val="00146589"/>
    <w:rsid w:val="00163941"/>
    <w:rsid w:val="0016524D"/>
    <w:rsid w:val="00165DD8"/>
    <w:rsid w:val="00167B97"/>
    <w:rsid w:val="00167B9D"/>
    <w:rsid w:val="0017531A"/>
    <w:rsid w:val="00181D0F"/>
    <w:rsid w:val="001822BB"/>
    <w:rsid w:val="001A0E54"/>
    <w:rsid w:val="001B0C91"/>
    <w:rsid w:val="001B171B"/>
    <w:rsid w:val="001B7815"/>
    <w:rsid w:val="001C344A"/>
    <w:rsid w:val="001C4D97"/>
    <w:rsid w:val="001C4E7B"/>
    <w:rsid w:val="001D0818"/>
    <w:rsid w:val="001D291B"/>
    <w:rsid w:val="001F2E49"/>
    <w:rsid w:val="001F35D6"/>
    <w:rsid w:val="001F4091"/>
    <w:rsid w:val="001F6F5B"/>
    <w:rsid w:val="002025BE"/>
    <w:rsid w:val="0020583F"/>
    <w:rsid w:val="00207DE8"/>
    <w:rsid w:val="00210E32"/>
    <w:rsid w:val="00213897"/>
    <w:rsid w:val="00224F08"/>
    <w:rsid w:val="00225E97"/>
    <w:rsid w:val="00226C33"/>
    <w:rsid w:val="00243F1A"/>
    <w:rsid w:val="002456FD"/>
    <w:rsid w:val="00247C80"/>
    <w:rsid w:val="00250DC8"/>
    <w:rsid w:val="002546FF"/>
    <w:rsid w:val="00262E0D"/>
    <w:rsid w:val="00263036"/>
    <w:rsid w:val="0027081A"/>
    <w:rsid w:val="00271569"/>
    <w:rsid w:val="002715BF"/>
    <w:rsid w:val="0027646A"/>
    <w:rsid w:val="00291606"/>
    <w:rsid w:val="00294AC5"/>
    <w:rsid w:val="002A1258"/>
    <w:rsid w:val="002A484E"/>
    <w:rsid w:val="002B295D"/>
    <w:rsid w:val="002B380A"/>
    <w:rsid w:val="002B3EF6"/>
    <w:rsid w:val="002B72FB"/>
    <w:rsid w:val="002C2CC6"/>
    <w:rsid w:val="002C7D28"/>
    <w:rsid w:val="002D0440"/>
    <w:rsid w:val="002D3C6C"/>
    <w:rsid w:val="002D42D3"/>
    <w:rsid w:val="002E0FC6"/>
    <w:rsid w:val="002F073E"/>
    <w:rsid w:val="002F0DEE"/>
    <w:rsid w:val="002F2B7C"/>
    <w:rsid w:val="002F5AE2"/>
    <w:rsid w:val="0030220A"/>
    <w:rsid w:val="00303254"/>
    <w:rsid w:val="00306428"/>
    <w:rsid w:val="00317649"/>
    <w:rsid w:val="003210B4"/>
    <w:rsid w:val="003230DF"/>
    <w:rsid w:val="003359D4"/>
    <w:rsid w:val="003438CD"/>
    <w:rsid w:val="00344AF1"/>
    <w:rsid w:val="00345595"/>
    <w:rsid w:val="00345A2B"/>
    <w:rsid w:val="0034778E"/>
    <w:rsid w:val="00351562"/>
    <w:rsid w:val="00353CC9"/>
    <w:rsid w:val="003565AA"/>
    <w:rsid w:val="00357AA9"/>
    <w:rsid w:val="00362133"/>
    <w:rsid w:val="003642EE"/>
    <w:rsid w:val="003653A6"/>
    <w:rsid w:val="00366E88"/>
    <w:rsid w:val="00371A81"/>
    <w:rsid w:val="00371B7B"/>
    <w:rsid w:val="00380670"/>
    <w:rsid w:val="00385005"/>
    <w:rsid w:val="00392F35"/>
    <w:rsid w:val="003A2BD3"/>
    <w:rsid w:val="003A4DB5"/>
    <w:rsid w:val="003B03B4"/>
    <w:rsid w:val="003B750A"/>
    <w:rsid w:val="003C3EA2"/>
    <w:rsid w:val="003D1720"/>
    <w:rsid w:val="003E07E5"/>
    <w:rsid w:val="003F077D"/>
    <w:rsid w:val="003F1C8B"/>
    <w:rsid w:val="003F1F3A"/>
    <w:rsid w:val="003F3AFA"/>
    <w:rsid w:val="003F5DEF"/>
    <w:rsid w:val="003F60F1"/>
    <w:rsid w:val="003F695E"/>
    <w:rsid w:val="00400B2E"/>
    <w:rsid w:val="0040126F"/>
    <w:rsid w:val="00406BCC"/>
    <w:rsid w:val="004248B3"/>
    <w:rsid w:val="00426D5E"/>
    <w:rsid w:val="00437142"/>
    <w:rsid w:val="004427A3"/>
    <w:rsid w:val="004431E2"/>
    <w:rsid w:val="00444921"/>
    <w:rsid w:val="0045217E"/>
    <w:rsid w:val="004532F6"/>
    <w:rsid w:val="004647ED"/>
    <w:rsid w:val="0046584E"/>
    <w:rsid w:val="0048005D"/>
    <w:rsid w:val="004826E0"/>
    <w:rsid w:val="004854B4"/>
    <w:rsid w:val="00490AB7"/>
    <w:rsid w:val="004A0B82"/>
    <w:rsid w:val="004A1DBA"/>
    <w:rsid w:val="004A6D85"/>
    <w:rsid w:val="004B4E15"/>
    <w:rsid w:val="004C07F4"/>
    <w:rsid w:val="004C191F"/>
    <w:rsid w:val="004C2A4B"/>
    <w:rsid w:val="004C53F3"/>
    <w:rsid w:val="004D0ADA"/>
    <w:rsid w:val="004D34DB"/>
    <w:rsid w:val="004D35FF"/>
    <w:rsid w:val="004E1FDA"/>
    <w:rsid w:val="004E2296"/>
    <w:rsid w:val="004E41A6"/>
    <w:rsid w:val="004F234D"/>
    <w:rsid w:val="004F2380"/>
    <w:rsid w:val="004F6E1D"/>
    <w:rsid w:val="005046E6"/>
    <w:rsid w:val="00522741"/>
    <w:rsid w:val="00527BCF"/>
    <w:rsid w:val="005318DA"/>
    <w:rsid w:val="0054062B"/>
    <w:rsid w:val="00546DC2"/>
    <w:rsid w:val="0054740B"/>
    <w:rsid w:val="005510CA"/>
    <w:rsid w:val="005524B4"/>
    <w:rsid w:val="00573977"/>
    <w:rsid w:val="00573DF1"/>
    <w:rsid w:val="00577099"/>
    <w:rsid w:val="00582D4C"/>
    <w:rsid w:val="00595DE6"/>
    <w:rsid w:val="005A0398"/>
    <w:rsid w:val="005A0FB8"/>
    <w:rsid w:val="005A3507"/>
    <w:rsid w:val="005A5115"/>
    <w:rsid w:val="005B05F4"/>
    <w:rsid w:val="005B2292"/>
    <w:rsid w:val="005B6B5D"/>
    <w:rsid w:val="005C3AC8"/>
    <w:rsid w:val="005D2908"/>
    <w:rsid w:val="005D307F"/>
    <w:rsid w:val="005D4355"/>
    <w:rsid w:val="005D4569"/>
    <w:rsid w:val="005E02CC"/>
    <w:rsid w:val="005E1ABD"/>
    <w:rsid w:val="005E3A1D"/>
    <w:rsid w:val="005E40C5"/>
    <w:rsid w:val="005F36E3"/>
    <w:rsid w:val="005F5D2D"/>
    <w:rsid w:val="005F7F0C"/>
    <w:rsid w:val="00600E7C"/>
    <w:rsid w:val="0060320D"/>
    <w:rsid w:val="0060447B"/>
    <w:rsid w:val="00607629"/>
    <w:rsid w:val="00611C6A"/>
    <w:rsid w:val="00616961"/>
    <w:rsid w:val="00620874"/>
    <w:rsid w:val="0062434E"/>
    <w:rsid w:val="006254F4"/>
    <w:rsid w:val="00627FFE"/>
    <w:rsid w:val="006337FA"/>
    <w:rsid w:val="00633CE1"/>
    <w:rsid w:val="00637B7D"/>
    <w:rsid w:val="00643E17"/>
    <w:rsid w:val="00644AC1"/>
    <w:rsid w:val="00645DB8"/>
    <w:rsid w:val="006549A8"/>
    <w:rsid w:val="006631AD"/>
    <w:rsid w:val="00664262"/>
    <w:rsid w:val="00671A15"/>
    <w:rsid w:val="0068256F"/>
    <w:rsid w:val="00685092"/>
    <w:rsid w:val="00687984"/>
    <w:rsid w:val="006943E1"/>
    <w:rsid w:val="00694826"/>
    <w:rsid w:val="00694A31"/>
    <w:rsid w:val="006A2324"/>
    <w:rsid w:val="006A2965"/>
    <w:rsid w:val="006B1399"/>
    <w:rsid w:val="006B1E41"/>
    <w:rsid w:val="006C049F"/>
    <w:rsid w:val="006C2000"/>
    <w:rsid w:val="006C2290"/>
    <w:rsid w:val="006E1634"/>
    <w:rsid w:val="006E2047"/>
    <w:rsid w:val="006E2951"/>
    <w:rsid w:val="006F094D"/>
    <w:rsid w:val="006F5623"/>
    <w:rsid w:val="006F56ED"/>
    <w:rsid w:val="00704189"/>
    <w:rsid w:val="0070714F"/>
    <w:rsid w:val="00713D7A"/>
    <w:rsid w:val="007140FE"/>
    <w:rsid w:val="00717028"/>
    <w:rsid w:val="00731210"/>
    <w:rsid w:val="00732F83"/>
    <w:rsid w:val="0073409D"/>
    <w:rsid w:val="00735A61"/>
    <w:rsid w:val="00741640"/>
    <w:rsid w:val="00743ADC"/>
    <w:rsid w:val="00756AB7"/>
    <w:rsid w:val="00757701"/>
    <w:rsid w:val="00762BD7"/>
    <w:rsid w:val="0077168F"/>
    <w:rsid w:val="0077310A"/>
    <w:rsid w:val="00777F1C"/>
    <w:rsid w:val="007830CA"/>
    <w:rsid w:val="007A1A1B"/>
    <w:rsid w:val="007C0B28"/>
    <w:rsid w:val="007C365C"/>
    <w:rsid w:val="007D1278"/>
    <w:rsid w:val="007D5E7B"/>
    <w:rsid w:val="007D67BB"/>
    <w:rsid w:val="007D6FC5"/>
    <w:rsid w:val="007D75F1"/>
    <w:rsid w:val="007E4F3A"/>
    <w:rsid w:val="007E6551"/>
    <w:rsid w:val="007F1054"/>
    <w:rsid w:val="007F1451"/>
    <w:rsid w:val="007F242B"/>
    <w:rsid w:val="007F6C7D"/>
    <w:rsid w:val="00800A98"/>
    <w:rsid w:val="00803EF2"/>
    <w:rsid w:val="00804FFC"/>
    <w:rsid w:val="00806FC9"/>
    <w:rsid w:val="00807B21"/>
    <w:rsid w:val="00812B9C"/>
    <w:rsid w:val="00820972"/>
    <w:rsid w:val="00825321"/>
    <w:rsid w:val="00826BA5"/>
    <w:rsid w:val="0084432B"/>
    <w:rsid w:val="0084521F"/>
    <w:rsid w:val="00845997"/>
    <w:rsid w:val="00845E30"/>
    <w:rsid w:val="00853CFA"/>
    <w:rsid w:val="0087045D"/>
    <w:rsid w:val="00870DB0"/>
    <w:rsid w:val="00877B2D"/>
    <w:rsid w:val="00884AA9"/>
    <w:rsid w:val="00890EEB"/>
    <w:rsid w:val="008970F0"/>
    <w:rsid w:val="008B0F7F"/>
    <w:rsid w:val="008B373A"/>
    <w:rsid w:val="008C7D69"/>
    <w:rsid w:val="008D2F10"/>
    <w:rsid w:val="008D5A73"/>
    <w:rsid w:val="008E01B1"/>
    <w:rsid w:val="008E0303"/>
    <w:rsid w:val="008F08B1"/>
    <w:rsid w:val="008F4C7C"/>
    <w:rsid w:val="008F5037"/>
    <w:rsid w:val="008F50A3"/>
    <w:rsid w:val="008F6D1A"/>
    <w:rsid w:val="00904DC9"/>
    <w:rsid w:val="0091111F"/>
    <w:rsid w:val="009122F2"/>
    <w:rsid w:val="00920B44"/>
    <w:rsid w:val="00922014"/>
    <w:rsid w:val="00925EB4"/>
    <w:rsid w:val="00927B0B"/>
    <w:rsid w:val="00932475"/>
    <w:rsid w:val="009350B6"/>
    <w:rsid w:val="00935B0E"/>
    <w:rsid w:val="00936360"/>
    <w:rsid w:val="00946DD0"/>
    <w:rsid w:val="0094728A"/>
    <w:rsid w:val="00947F2B"/>
    <w:rsid w:val="00953FB0"/>
    <w:rsid w:val="00956D66"/>
    <w:rsid w:val="00964F14"/>
    <w:rsid w:val="0098042E"/>
    <w:rsid w:val="00983138"/>
    <w:rsid w:val="0098799F"/>
    <w:rsid w:val="009A21E6"/>
    <w:rsid w:val="009A2307"/>
    <w:rsid w:val="009A3F28"/>
    <w:rsid w:val="009A40E4"/>
    <w:rsid w:val="009A771D"/>
    <w:rsid w:val="009B5349"/>
    <w:rsid w:val="009C2CF0"/>
    <w:rsid w:val="009C6C39"/>
    <w:rsid w:val="009C78F6"/>
    <w:rsid w:val="009D16A6"/>
    <w:rsid w:val="009D3E9F"/>
    <w:rsid w:val="009D4AE6"/>
    <w:rsid w:val="009D651D"/>
    <w:rsid w:val="009E0233"/>
    <w:rsid w:val="009E7334"/>
    <w:rsid w:val="009F10B9"/>
    <w:rsid w:val="009F2E93"/>
    <w:rsid w:val="009F51DC"/>
    <w:rsid w:val="009F7001"/>
    <w:rsid w:val="00A048D8"/>
    <w:rsid w:val="00A13007"/>
    <w:rsid w:val="00A22BB6"/>
    <w:rsid w:val="00A24A6F"/>
    <w:rsid w:val="00A273A4"/>
    <w:rsid w:val="00A31E7B"/>
    <w:rsid w:val="00A350E9"/>
    <w:rsid w:val="00A43F03"/>
    <w:rsid w:val="00A55774"/>
    <w:rsid w:val="00A57AFC"/>
    <w:rsid w:val="00A61464"/>
    <w:rsid w:val="00A62AB2"/>
    <w:rsid w:val="00A70A43"/>
    <w:rsid w:val="00A710FA"/>
    <w:rsid w:val="00A77E3D"/>
    <w:rsid w:val="00A80B6D"/>
    <w:rsid w:val="00A8140C"/>
    <w:rsid w:val="00A821FE"/>
    <w:rsid w:val="00A923E7"/>
    <w:rsid w:val="00A9532F"/>
    <w:rsid w:val="00A97DCF"/>
    <w:rsid w:val="00AA14FE"/>
    <w:rsid w:val="00AA6162"/>
    <w:rsid w:val="00AB14B0"/>
    <w:rsid w:val="00AB3E12"/>
    <w:rsid w:val="00AB5A88"/>
    <w:rsid w:val="00AC1DF0"/>
    <w:rsid w:val="00AC3849"/>
    <w:rsid w:val="00AE0CCA"/>
    <w:rsid w:val="00AE2F76"/>
    <w:rsid w:val="00AE40CF"/>
    <w:rsid w:val="00AE6432"/>
    <w:rsid w:val="00AF6540"/>
    <w:rsid w:val="00B01CBD"/>
    <w:rsid w:val="00B02D83"/>
    <w:rsid w:val="00B07A2F"/>
    <w:rsid w:val="00B13AB0"/>
    <w:rsid w:val="00B14B26"/>
    <w:rsid w:val="00B2498B"/>
    <w:rsid w:val="00B3793D"/>
    <w:rsid w:val="00B400C5"/>
    <w:rsid w:val="00B419FF"/>
    <w:rsid w:val="00B41C44"/>
    <w:rsid w:val="00B44675"/>
    <w:rsid w:val="00B55BEF"/>
    <w:rsid w:val="00B74573"/>
    <w:rsid w:val="00B7461C"/>
    <w:rsid w:val="00B746B0"/>
    <w:rsid w:val="00B746E6"/>
    <w:rsid w:val="00B76BA3"/>
    <w:rsid w:val="00B85066"/>
    <w:rsid w:val="00B860CC"/>
    <w:rsid w:val="00B863DE"/>
    <w:rsid w:val="00B939DE"/>
    <w:rsid w:val="00B94774"/>
    <w:rsid w:val="00B968F0"/>
    <w:rsid w:val="00BA12D3"/>
    <w:rsid w:val="00BA6A48"/>
    <w:rsid w:val="00BA7808"/>
    <w:rsid w:val="00BB13B6"/>
    <w:rsid w:val="00BB245D"/>
    <w:rsid w:val="00BC507C"/>
    <w:rsid w:val="00BD3C1C"/>
    <w:rsid w:val="00BD54FC"/>
    <w:rsid w:val="00BD5D0A"/>
    <w:rsid w:val="00BE4A76"/>
    <w:rsid w:val="00BE5890"/>
    <w:rsid w:val="00C212AC"/>
    <w:rsid w:val="00C22295"/>
    <w:rsid w:val="00C22C31"/>
    <w:rsid w:val="00C26818"/>
    <w:rsid w:val="00C30D62"/>
    <w:rsid w:val="00C30E40"/>
    <w:rsid w:val="00C31420"/>
    <w:rsid w:val="00C32F44"/>
    <w:rsid w:val="00C3673B"/>
    <w:rsid w:val="00C36F35"/>
    <w:rsid w:val="00C60D7D"/>
    <w:rsid w:val="00C62CA6"/>
    <w:rsid w:val="00C62EA9"/>
    <w:rsid w:val="00C658C4"/>
    <w:rsid w:val="00C65F4F"/>
    <w:rsid w:val="00C66E56"/>
    <w:rsid w:val="00C75089"/>
    <w:rsid w:val="00C75FA3"/>
    <w:rsid w:val="00C76AE2"/>
    <w:rsid w:val="00C8081B"/>
    <w:rsid w:val="00C81D72"/>
    <w:rsid w:val="00C83E32"/>
    <w:rsid w:val="00C85B30"/>
    <w:rsid w:val="00CA0969"/>
    <w:rsid w:val="00CA3724"/>
    <w:rsid w:val="00CA3A16"/>
    <w:rsid w:val="00CA6380"/>
    <w:rsid w:val="00CB7D88"/>
    <w:rsid w:val="00CC025F"/>
    <w:rsid w:val="00CC2137"/>
    <w:rsid w:val="00CC25C7"/>
    <w:rsid w:val="00CC7CB7"/>
    <w:rsid w:val="00CD1B48"/>
    <w:rsid w:val="00CD24A1"/>
    <w:rsid w:val="00CD2AB0"/>
    <w:rsid w:val="00CD2BAB"/>
    <w:rsid w:val="00CD6D66"/>
    <w:rsid w:val="00CD76A8"/>
    <w:rsid w:val="00CF1A68"/>
    <w:rsid w:val="00CF41BA"/>
    <w:rsid w:val="00D00244"/>
    <w:rsid w:val="00D04979"/>
    <w:rsid w:val="00D12BEF"/>
    <w:rsid w:val="00D12FD0"/>
    <w:rsid w:val="00D16F77"/>
    <w:rsid w:val="00D23FD0"/>
    <w:rsid w:val="00D255D6"/>
    <w:rsid w:val="00D405C5"/>
    <w:rsid w:val="00D42F84"/>
    <w:rsid w:val="00D442EA"/>
    <w:rsid w:val="00D50BBB"/>
    <w:rsid w:val="00D63623"/>
    <w:rsid w:val="00D64ECB"/>
    <w:rsid w:val="00D70351"/>
    <w:rsid w:val="00D75FA7"/>
    <w:rsid w:val="00D77680"/>
    <w:rsid w:val="00D8147F"/>
    <w:rsid w:val="00D9049E"/>
    <w:rsid w:val="00D92036"/>
    <w:rsid w:val="00D926C8"/>
    <w:rsid w:val="00D9628B"/>
    <w:rsid w:val="00DA2CBC"/>
    <w:rsid w:val="00DA380D"/>
    <w:rsid w:val="00DA783E"/>
    <w:rsid w:val="00DB656B"/>
    <w:rsid w:val="00DC15AF"/>
    <w:rsid w:val="00DC2F8A"/>
    <w:rsid w:val="00DC6919"/>
    <w:rsid w:val="00DC6B17"/>
    <w:rsid w:val="00DD0CE8"/>
    <w:rsid w:val="00DE0201"/>
    <w:rsid w:val="00DE1D94"/>
    <w:rsid w:val="00DF76E4"/>
    <w:rsid w:val="00E14F2F"/>
    <w:rsid w:val="00E46F85"/>
    <w:rsid w:val="00E51AF8"/>
    <w:rsid w:val="00E54C92"/>
    <w:rsid w:val="00E6138B"/>
    <w:rsid w:val="00E61DB9"/>
    <w:rsid w:val="00E632B7"/>
    <w:rsid w:val="00E64422"/>
    <w:rsid w:val="00E64A43"/>
    <w:rsid w:val="00E678C7"/>
    <w:rsid w:val="00E75BCC"/>
    <w:rsid w:val="00E92CEF"/>
    <w:rsid w:val="00E95A00"/>
    <w:rsid w:val="00E979B7"/>
    <w:rsid w:val="00EB2504"/>
    <w:rsid w:val="00EB4B87"/>
    <w:rsid w:val="00EF0176"/>
    <w:rsid w:val="00EF21C5"/>
    <w:rsid w:val="00EF3BA9"/>
    <w:rsid w:val="00EF6258"/>
    <w:rsid w:val="00EF6423"/>
    <w:rsid w:val="00EF6D5B"/>
    <w:rsid w:val="00F01C67"/>
    <w:rsid w:val="00F06A82"/>
    <w:rsid w:val="00F1397B"/>
    <w:rsid w:val="00F20BB9"/>
    <w:rsid w:val="00F21795"/>
    <w:rsid w:val="00F234D1"/>
    <w:rsid w:val="00F236D6"/>
    <w:rsid w:val="00F240CD"/>
    <w:rsid w:val="00F26DD2"/>
    <w:rsid w:val="00F31D47"/>
    <w:rsid w:val="00F3651F"/>
    <w:rsid w:val="00F44F67"/>
    <w:rsid w:val="00F46B5C"/>
    <w:rsid w:val="00F55506"/>
    <w:rsid w:val="00F62ABD"/>
    <w:rsid w:val="00F62E08"/>
    <w:rsid w:val="00F70F9E"/>
    <w:rsid w:val="00F72980"/>
    <w:rsid w:val="00F774F9"/>
    <w:rsid w:val="00F832D6"/>
    <w:rsid w:val="00F864A9"/>
    <w:rsid w:val="00FA1DBF"/>
    <w:rsid w:val="00FA78ED"/>
    <w:rsid w:val="00FB2D58"/>
    <w:rsid w:val="00FC0223"/>
    <w:rsid w:val="00FC4FD3"/>
    <w:rsid w:val="00FC5172"/>
    <w:rsid w:val="00FC5623"/>
    <w:rsid w:val="00FD3AAF"/>
    <w:rsid w:val="00FD419F"/>
    <w:rsid w:val="00FD7BA3"/>
    <w:rsid w:val="00FE05CD"/>
    <w:rsid w:val="00FE408F"/>
    <w:rsid w:val="00FE7159"/>
    <w:rsid w:val="00FF0B4C"/>
    <w:rsid w:val="00FF6A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2D3"/>
  </w:style>
  <w:style w:type="paragraph" w:styleId="Heading4">
    <w:name w:val="heading 4"/>
    <w:basedOn w:val="Normal"/>
    <w:link w:val="Heading4Char"/>
    <w:uiPriority w:val="9"/>
    <w:qFormat/>
    <w:rsid w:val="00F26DD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paragraph">
    <w:name w:val="body-paragraph"/>
    <w:basedOn w:val="Normal"/>
    <w:rsid w:val="005A0F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26DD2"/>
    <w:rPr>
      <w:rFonts w:ascii="Times New Roman" w:eastAsia="Times New Roman" w:hAnsi="Times New Roman" w:cs="Times New Roman"/>
      <w:b/>
      <w:bCs/>
      <w:sz w:val="24"/>
      <w:szCs w:val="24"/>
    </w:rPr>
  </w:style>
  <w:style w:type="paragraph" w:styleId="NormalWeb">
    <w:name w:val="Normal (Web)"/>
    <w:basedOn w:val="Normal"/>
    <w:uiPriority w:val="99"/>
    <w:unhideWhenUsed/>
    <w:rsid w:val="00F26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cationcontentepubdate">
    <w:name w:val="publicationcontentepubdate"/>
    <w:basedOn w:val="DefaultParagraphFont"/>
    <w:rsid w:val="00F26DD2"/>
  </w:style>
  <w:style w:type="character" w:styleId="Hyperlink">
    <w:name w:val="Hyperlink"/>
    <w:basedOn w:val="DefaultParagraphFont"/>
    <w:uiPriority w:val="99"/>
    <w:unhideWhenUsed/>
    <w:rsid w:val="00F26DD2"/>
    <w:rPr>
      <w:color w:val="0000FF"/>
      <w:u w:val="single"/>
    </w:rPr>
  </w:style>
  <w:style w:type="character" w:customStyle="1" w:styleId="UnresolvedMention1">
    <w:name w:val="Unresolved Mention1"/>
    <w:basedOn w:val="DefaultParagraphFont"/>
    <w:uiPriority w:val="99"/>
    <w:semiHidden/>
    <w:unhideWhenUsed/>
    <w:rsid w:val="00F26DD2"/>
    <w:rPr>
      <w:color w:val="808080"/>
      <w:shd w:val="clear" w:color="auto" w:fill="E6E6E6"/>
    </w:rPr>
  </w:style>
  <w:style w:type="paragraph" w:styleId="Header">
    <w:name w:val="header"/>
    <w:basedOn w:val="Normal"/>
    <w:link w:val="HeaderChar"/>
    <w:uiPriority w:val="99"/>
    <w:unhideWhenUsed/>
    <w:rsid w:val="00582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2D4C"/>
  </w:style>
  <w:style w:type="paragraph" w:styleId="Footer">
    <w:name w:val="footer"/>
    <w:basedOn w:val="Normal"/>
    <w:link w:val="FooterChar"/>
    <w:uiPriority w:val="99"/>
    <w:unhideWhenUsed/>
    <w:rsid w:val="00582D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2D4C"/>
  </w:style>
  <w:style w:type="paragraph" w:styleId="ListParagraph">
    <w:name w:val="List Paragraph"/>
    <w:basedOn w:val="Normal"/>
    <w:uiPriority w:val="34"/>
    <w:qFormat/>
    <w:rsid w:val="00A55774"/>
    <w:pPr>
      <w:ind w:left="720"/>
      <w:contextualSpacing/>
    </w:pPr>
  </w:style>
  <w:style w:type="table" w:styleId="TableGrid">
    <w:name w:val="Table Grid"/>
    <w:basedOn w:val="TableNormal"/>
    <w:uiPriority w:val="39"/>
    <w:rsid w:val="00081D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633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2021-09-12T20:55:00Z</dcterms:created>
  <dcterms:modified xsi:type="dcterms:W3CDTF">2021-09-12T20:55:00Z</dcterms:modified>
</cp:coreProperties>
</file>